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9E" w:rsidRDefault="003B7C9E" w:rsidP="003B7C9E">
      <w:r>
        <w:t>99</w:t>
      </w:r>
    </w:p>
    <w:p w:rsidR="00E75AC6" w:rsidRPr="00200E9F" w:rsidRDefault="003B7C9E" w:rsidP="00200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9F">
        <w:rPr>
          <w:rFonts w:ascii="Times New Roman" w:hAnsi="Times New Roman" w:cs="Times New Roman"/>
          <w:b/>
          <w:sz w:val="28"/>
          <w:szCs w:val="28"/>
        </w:rPr>
        <w:t xml:space="preserve">Зміни до </w:t>
      </w:r>
      <w:r w:rsidR="00E75AC6" w:rsidRPr="00200E9F">
        <w:rPr>
          <w:rFonts w:ascii="Times New Roman" w:hAnsi="Times New Roman" w:cs="Times New Roman"/>
          <w:b/>
          <w:sz w:val="28"/>
          <w:szCs w:val="28"/>
        </w:rPr>
        <w:t xml:space="preserve">  ПОЛОЖЕННЯ</w:t>
      </w:r>
    </w:p>
    <w:p w:rsidR="00E75AC6" w:rsidRPr="00200E9F" w:rsidRDefault="00E75AC6" w:rsidP="00200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9F">
        <w:rPr>
          <w:rFonts w:ascii="Times New Roman" w:hAnsi="Times New Roman" w:cs="Times New Roman"/>
          <w:b/>
          <w:sz w:val="28"/>
          <w:szCs w:val="28"/>
        </w:rPr>
        <w:t>про порядок підвищення кваліфікації</w:t>
      </w:r>
    </w:p>
    <w:p w:rsidR="00E75AC6" w:rsidRPr="00200E9F" w:rsidRDefault="00E75AC6" w:rsidP="00200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9F">
        <w:rPr>
          <w:rFonts w:ascii="Times New Roman" w:hAnsi="Times New Roman" w:cs="Times New Roman"/>
          <w:b/>
          <w:sz w:val="28"/>
          <w:szCs w:val="28"/>
        </w:rPr>
        <w:t>педагогічних і науково-педагогічних працівників</w:t>
      </w:r>
    </w:p>
    <w:p w:rsidR="00C00A40" w:rsidRDefault="00E75AC6" w:rsidP="00200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9F">
        <w:rPr>
          <w:rFonts w:ascii="Times New Roman" w:hAnsi="Times New Roman" w:cs="Times New Roman"/>
          <w:b/>
          <w:sz w:val="28"/>
          <w:szCs w:val="28"/>
        </w:rPr>
        <w:t>Маріупольського державного університет</w:t>
      </w:r>
    </w:p>
    <w:p w:rsidR="00200E9F" w:rsidRPr="00200E9F" w:rsidRDefault="00200E9F" w:rsidP="00200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3B7C9E" w:rsidTr="00C54451">
        <w:tc>
          <w:tcPr>
            <w:tcW w:w="7564" w:type="dxa"/>
          </w:tcPr>
          <w:p w:rsidR="003B7C9E" w:rsidRDefault="003B7C9E" w:rsidP="003B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</w:p>
        </w:tc>
        <w:tc>
          <w:tcPr>
            <w:tcW w:w="7564" w:type="dxa"/>
          </w:tcPr>
          <w:p w:rsidR="003B7C9E" w:rsidRDefault="003B7C9E" w:rsidP="003B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7C6326" w:rsidTr="00C54451">
        <w:tc>
          <w:tcPr>
            <w:tcW w:w="15128" w:type="dxa"/>
            <w:gridSpan w:val="2"/>
          </w:tcPr>
          <w:p w:rsidR="007C6326" w:rsidRPr="00200E9F" w:rsidRDefault="007C6326" w:rsidP="003B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9F">
              <w:rPr>
                <w:rFonts w:ascii="Times New Roman" w:hAnsi="Times New Roman" w:cs="Times New Roman"/>
                <w:b/>
                <w:sz w:val="28"/>
                <w:szCs w:val="28"/>
              </w:rPr>
              <w:t>1. ЗАГАЛЬНІ ПОЛОЖЕННЯ</w:t>
            </w:r>
          </w:p>
        </w:tc>
      </w:tr>
      <w:tr w:rsidR="00B30924" w:rsidTr="00C54451">
        <w:tc>
          <w:tcPr>
            <w:tcW w:w="7564" w:type="dxa"/>
          </w:tcPr>
          <w:p w:rsidR="00200E9F" w:rsidRDefault="007C6326" w:rsidP="00B3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E9F" w:rsidRPr="00200E9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="001A3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0E9F" w:rsidRPr="00200E9F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Організацію та координацію підвищення кваліфікації здійснює Центр розвитку людського потенціалу (далі – ЦРЛП) спільно з деканами факультетів та керівниками структурних підрозділів Університету.</w:t>
            </w:r>
          </w:p>
          <w:p w:rsidR="00200E9F" w:rsidRDefault="00200E9F" w:rsidP="00B3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24" w:rsidRDefault="007C6326" w:rsidP="00B3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додати</w:t>
            </w:r>
          </w:p>
          <w:p w:rsidR="00C54451" w:rsidRDefault="00C54451" w:rsidP="00B3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51" w:rsidRDefault="00C54451" w:rsidP="00B3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51" w:rsidRDefault="00C54451" w:rsidP="00B3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51" w:rsidRDefault="00C54451" w:rsidP="00B3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51" w:rsidRDefault="00200E9F" w:rsidP="00B3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64" w:type="dxa"/>
          </w:tcPr>
          <w:p w:rsidR="00200E9F" w:rsidRDefault="007C6326" w:rsidP="0039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E9F" w:rsidRPr="00200E9F">
              <w:rPr>
                <w:rFonts w:ascii="Times New Roman" w:hAnsi="Times New Roman" w:cs="Times New Roman"/>
                <w:sz w:val="28"/>
                <w:szCs w:val="28"/>
              </w:rPr>
              <w:t>1.7.3. Організацію та координацію підвищення кваліфікації здійснює Центр розвитку людського потенціалу (далі – ЦРЛП) спільно з деканами факультетів та керівниками структурних підрозділів Університету.</w:t>
            </w:r>
          </w:p>
          <w:p w:rsidR="00200E9F" w:rsidRDefault="00200E9F" w:rsidP="0039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5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Організаційний супровід підвищення кваліфікації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та науково-педагогічних працівників </w:t>
            </w:r>
            <w:r w:rsidRPr="00C54451">
              <w:rPr>
                <w:rFonts w:ascii="Times New Roman" w:hAnsi="Times New Roman" w:cs="Times New Roman"/>
                <w:sz w:val="28"/>
                <w:szCs w:val="28"/>
              </w:rPr>
              <w:t>Університету за кордоном здійснює Центр Міжнародної Освіти МДУ</w:t>
            </w:r>
          </w:p>
          <w:p w:rsidR="00203627" w:rsidRPr="00FC04EB" w:rsidRDefault="007C6326" w:rsidP="00FC04E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1.10. </w:t>
            </w:r>
            <w:r w:rsidR="00FC0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627" w:rsidRPr="00203627">
              <w:rPr>
                <w:rFonts w:ascii="Times New Roman" w:hAnsi="Times New Roman" w:cs="Times New Roman"/>
                <w:i/>
                <w:iCs/>
                <w:color w:val="00B050"/>
                <w:sz w:val="28"/>
                <w:szCs w:val="28"/>
              </w:rPr>
              <w:t xml:space="preserve">ЦРЛП сприяє реалізації </w:t>
            </w:r>
            <w:proofErr w:type="spellStart"/>
            <w:r w:rsidR="00203627" w:rsidRPr="00203627">
              <w:rPr>
                <w:rFonts w:ascii="Times New Roman" w:hAnsi="Times New Roman" w:cs="Times New Roman"/>
                <w:i/>
                <w:iCs/>
                <w:color w:val="00B050"/>
                <w:sz w:val="28"/>
                <w:szCs w:val="28"/>
              </w:rPr>
              <w:t>прогромадської</w:t>
            </w:r>
            <w:proofErr w:type="spellEnd"/>
            <w:r w:rsidR="00203627" w:rsidRPr="00203627">
              <w:rPr>
                <w:rFonts w:ascii="Times New Roman" w:hAnsi="Times New Roman" w:cs="Times New Roman"/>
                <w:i/>
                <w:iCs/>
                <w:color w:val="00B050"/>
                <w:sz w:val="28"/>
                <w:szCs w:val="28"/>
              </w:rPr>
              <w:t xml:space="preserve"> функції університету, забезпечує можливість до самоосвіти та саморозвитку кожного громадянина, незалежно від його статусу чи соціального становища  отримати громадську освіту через дистанційні курси та навчальні програми, що забезпечують </w:t>
            </w:r>
            <w:r w:rsidR="00203627" w:rsidRPr="00203627">
              <w:rPr>
                <w:rFonts w:ascii="Times New Roman" w:hAnsi="Times New Roman" w:cs="Times New Roman"/>
                <w:bCs/>
                <w:i/>
                <w:iCs/>
                <w:color w:val="00B050"/>
                <w:sz w:val="28"/>
                <w:szCs w:val="28"/>
              </w:rPr>
              <w:t xml:space="preserve"> потреби громади</w:t>
            </w:r>
          </w:p>
          <w:p w:rsidR="00203627" w:rsidRPr="00203627" w:rsidRDefault="00203627" w:rsidP="00391D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451" w:rsidRDefault="001A3B1D" w:rsidP="0020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451" w:rsidTr="00570F4B">
        <w:tc>
          <w:tcPr>
            <w:tcW w:w="15128" w:type="dxa"/>
            <w:gridSpan w:val="2"/>
          </w:tcPr>
          <w:p w:rsidR="00C54451" w:rsidRDefault="00C54451" w:rsidP="0039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51">
              <w:rPr>
                <w:rFonts w:ascii="Times New Roman" w:hAnsi="Times New Roman" w:cs="Times New Roman"/>
                <w:sz w:val="28"/>
                <w:szCs w:val="28"/>
              </w:rPr>
              <w:t>2. ВИДИ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ФОРМИ, НАПРЯМИ ТА ОРГАНІЗАЦІЯ    </w:t>
            </w:r>
            <w:r w:rsidRPr="00C54451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ПРАЦІВНИКІВ</w:t>
            </w:r>
          </w:p>
        </w:tc>
      </w:tr>
      <w:tr w:rsidR="00C54451" w:rsidTr="00C54451">
        <w:tc>
          <w:tcPr>
            <w:tcW w:w="7564" w:type="dxa"/>
          </w:tcPr>
          <w:p w:rsidR="0006570D" w:rsidRP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0D">
              <w:rPr>
                <w:rFonts w:ascii="Times New Roman" w:hAnsi="Times New Roman" w:cs="Times New Roman"/>
                <w:sz w:val="28"/>
                <w:szCs w:val="28"/>
              </w:rPr>
              <w:t>2.8. Працівники, які відповідно до плану-графіка проходитимуть навчання, подають до відділу кадрів Університету такі документи:</w:t>
            </w:r>
          </w:p>
          <w:p w:rsidR="0006570D" w:rsidRP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570D">
              <w:rPr>
                <w:rFonts w:ascii="Times New Roman" w:hAnsi="Times New Roman" w:cs="Times New Roman"/>
                <w:sz w:val="28"/>
                <w:szCs w:val="28"/>
              </w:rPr>
              <w:t>заяву про направлення на підвищення кваліфікації (стажування) за формою, наведеною в додатку 1 до цього Положення;</w:t>
            </w:r>
          </w:p>
          <w:p w:rsidR="0006570D" w:rsidRP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6570D">
              <w:rPr>
                <w:rFonts w:ascii="Times New Roman" w:hAnsi="Times New Roman" w:cs="Times New Roman"/>
                <w:sz w:val="28"/>
                <w:szCs w:val="28"/>
              </w:rPr>
              <w:t xml:space="preserve"> витяг з протоколу засідання структурного підрозділу Університету щодо стажування;</w:t>
            </w:r>
          </w:p>
          <w:p w:rsidR="0006570D" w:rsidRP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570D">
              <w:rPr>
                <w:rFonts w:ascii="Times New Roman" w:hAnsi="Times New Roman" w:cs="Times New Roman"/>
                <w:sz w:val="28"/>
                <w:szCs w:val="28"/>
              </w:rPr>
              <w:t>направлення на стажування працівника Університету за формою, наведеною в додатку 2 до цього Положення;</w:t>
            </w:r>
          </w:p>
          <w:p w:rsidR="00C54451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570D">
              <w:rPr>
                <w:rFonts w:ascii="Times New Roman" w:hAnsi="Times New Roman" w:cs="Times New Roman"/>
                <w:sz w:val="28"/>
                <w:szCs w:val="28"/>
              </w:rPr>
              <w:t>індивідуальну програму стажування за формою, наведеною в додатку 3 до цього Положення, що містить інформацію про мету, завдання, строк, зміст навчання, очікувані результати. Обробка персональних даних працівників здійснюється відповідно до вимог Закону України «Про захист персональних даних».</w:t>
            </w:r>
          </w:p>
        </w:tc>
        <w:tc>
          <w:tcPr>
            <w:tcW w:w="7564" w:type="dxa"/>
          </w:tcPr>
          <w:p w:rsidR="0006570D" w:rsidRP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Працівники, які відповідно до плану-графіка проходитимуть навчання, подають до відділу кадрів Університету такі документи:</w:t>
            </w:r>
          </w:p>
          <w:p w:rsidR="0006570D" w:rsidRP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570D">
              <w:rPr>
                <w:rFonts w:ascii="Times New Roman" w:hAnsi="Times New Roman" w:cs="Times New Roman"/>
                <w:sz w:val="28"/>
                <w:szCs w:val="28"/>
              </w:rPr>
              <w:t>заяву про направлення на підвищення кваліфікації (стажування) за формою, наведеною в додатку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0D">
              <w:rPr>
                <w:rFonts w:ascii="Times New Roman" w:hAnsi="Times New Roman" w:cs="Times New Roman"/>
                <w:sz w:val="28"/>
                <w:szCs w:val="28"/>
              </w:rPr>
              <w:t xml:space="preserve"> до цього </w:t>
            </w:r>
            <w:r w:rsidRPr="00065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Положення;</w:t>
            </w:r>
            <w:r w:rsidR="000D6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66" w:rsidRPr="000D6C6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за умови стажування за</w:t>
            </w:r>
            <w:r w:rsidR="005C6F8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  <w:bookmarkStart w:id="0" w:name="_GoBack"/>
            <w:bookmarkEnd w:id="0"/>
            <w:r w:rsidR="000D6C66" w:rsidRPr="000D6C6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кордоном заява погоджується з Центром міжнародної освіти.;</w:t>
            </w:r>
          </w:p>
          <w:p w:rsidR="0006570D" w:rsidRP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570D">
              <w:rPr>
                <w:rFonts w:ascii="Times New Roman" w:hAnsi="Times New Roman" w:cs="Times New Roman"/>
                <w:sz w:val="28"/>
                <w:szCs w:val="28"/>
              </w:rPr>
              <w:t xml:space="preserve"> витяг з протоколу засідання структурного підрозділу Університету щодо стажування;</w:t>
            </w:r>
          </w:p>
          <w:p w:rsidR="0006570D" w:rsidRP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570D">
              <w:rPr>
                <w:rFonts w:ascii="Times New Roman" w:hAnsi="Times New Roman" w:cs="Times New Roman"/>
                <w:sz w:val="28"/>
                <w:szCs w:val="28"/>
              </w:rPr>
              <w:t>направлення на стажування працівника Університету за формою, наведеною в додатку 2 до цього Положення;</w:t>
            </w:r>
          </w:p>
          <w:p w:rsidR="00C54451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570D">
              <w:rPr>
                <w:rFonts w:ascii="Times New Roman" w:hAnsi="Times New Roman" w:cs="Times New Roman"/>
                <w:sz w:val="28"/>
                <w:szCs w:val="28"/>
              </w:rPr>
              <w:t>індивідуальну програму стажування за формою, наведеною в додатку 3 до цього Положення, що містить інформацію про мету, завдання, строк, зміст навчання, очікувані результати. Обробка персональних даних працівників здійснюється відповідно до вимог Закону України «Про захист персональних даних».</w:t>
            </w:r>
          </w:p>
        </w:tc>
      </w:tr>
      <w:tr w:rsidR="0006570D" w:rsidTr="00C54451">
        <w:tc>
          <w:tcPr>
            <w:tcW w:w="7564" w:type="dxa"/>
          </w:tcPr>
          <w:p w:rsidR="0006570D" w:rsidRPr="00C54451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54451">
              <w:rPr>
                <w:rFonts w:ascii="Times New Roman" w:hAnsi="Times New Roman" w:cs="Times New Roman"/>
                <w:sz w:val="28"/>
                <w:szCs w:val="28"/>
              </w:rPr>
              <w:t>2.10. Направлення на навчання працівників за межі України здійснюється відповідно до Положення про навчання студентів та аспірантів, стажування наукових і науково-педагогічних працівників у провідних вищих навчальних закладах та наукових установах за кордоном, затвердженого постановою Кабінету Міністрів України від 13.04.2011 року № 411, а також фізичними і юридичними особами на підставі договорів, укладених з іноземними вищими навчальними закладами, науковими та іншими установами.</w:t>
            </w:r>
          </w:p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64" w:type="dxa"/>
          </w:tcPr>
          <w:p w:rsidR="0006570D" w:rsidRPr="00C54451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>
              <w:t xml:space="preserve"> </w:t>
            </w:r>
            <w:r w:rsidRPr="00C5445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Направлення на підвищення кваліфікації та стажування педагогічних та НПП за межі України здійснюється відповідно до: </w:t>
            </w:r>
          </w:p>
          <w:p w:rsidR="0006570D" w:rsidRPr="00C54451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51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Постанови Кабінету Міністрів України щодо врегулювання питань академічної мобільності від 13 травня 2022 р. № 599; </w:t>
            </w:r>
          </w:p>
          <w:p w:rsidR="0006570D" w:rsidRPr="00C54451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51">
              <w:rPr>
                <w:rFonts w:ascii="Times New Roman" w:hAnsi="Times New Roman" w:cs="Times New Roman"/>
                <w:sz w:val="28"/>
                <w:szCs w:val="28"/>
              </w:rPr>
              <w:t>- Положення про порядок підвищення кваліфікації̈ педагогічних і науково-педагогічних працівників Маріупольського державного університету;</w:t>
            </w:r>
          </w:p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51">
              <w:rPr>
                <w:rFonts w:ascii="Times New Roman" w:hAnsi="Times New Roman" w:cs="Times New Roman"/>
                <w:sz w:val="28"/>
                <w:szCs w:val="28"/>
              </w:rPr>
              <w:t>- Договорів, укладених з іноземними закладами вищої освіти, науковими та іншими установами.</w:t>
            </w:r>
          </w:p>
        </w:tc>
      </w:tr>
      <w:tr w:rsidR="0006570D" w:rsidTr="00570F4B">
        <w:tc>
          <w:tcPr>
            <w:tcW w:w="15128" w:type="dxa"/>
            <w:gridSpan w:val="2"/>
          </w:tcPr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9F">
              <w:rPr>
                <w:rFonts w:ascii="Times New Roman" w:hAnsi="Times New Roman" w:cs="Times New Roman"/>
                <w:sz w:val="28"/>
                <w:szCs w:val="28"/>
              </w:rPr>
              <w:t>3.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ЛИВОСТІ ПІДВИЩЕННЯ КВАЛІФІКАЦІЇ   </w:t>
            </w:r>
            <w:r w:rsidRPr="00200E9F">
              <w:rPr>
                <w:rFonts w:ascii="Times New Roman" w:hAnsi="Times New Roman" w:cs="Times New Roman"/>
                <w:sz w:val="28"/>
                <w:szCs w:val="28"/>
              </w:rPr>
              <w:t>ПЕДАГОГІЧНИХ ТА НАУКОВО-ПЕДАГОГІЧНИХ ПРАЦІВНИКІВ</w:t>
            </w:r>
          </w:p>
        </w:tc>
      </w:tr>
      <w:tr w:rsidR="0006570D" w:rsidTr="00C54451">
        <w:tc>
          <w:tcPr>
            <w:tcW w:w="7564" w:type="dxa"/>
          </w:tcPr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9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Pr="003B7C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Участь педагогічних та науково-педагогічних працівників у програмах академічної мобільності на засадах, визначених Законами України «Про освіту», «Про вищу освіту», Положенням про порядок реалізації права на академічну мобільність, затвердженим постановою Кабінету Міністрів України від 12.08.2015 № 579 (Офіційний вісник України, 2015 р., № 66, ст. 2183), та іншими актами законодавства, визнається вченою радою Університету як </w:t>
            </w:r>
            <w:r w:rsidRPr="003B7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підвищення кваліфікації педагогічних та науково-педагогічних працівників</w:t>
            </w:r>
          </w:p>
        </w:tc>
        <w:tc>
          <w:tcPr>
            <w:tcW w:w="7564" w:type="dxa"/>
          </w:tcPr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B7C9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Pr="003B7C9E">
              <w:rPr>
                <w:rFonts w:ascii="Times New Roman" w:hAnsi="Times New Roman" w:cs="Times New Roman"/>
                <w:sz w:val="28"/>
                <w:szCs w:val="28"/>
              </w:rPr>
              <w:tab/>
              <w:t>Участь педагогічних та науково-педагогічних працівників у програмах академічної мобільності на засадах, визначених Законами України «Про освіту», «Про вищу освіту», Положенням про порядок реалізації права на академічну мобільність, затвердженим постановою Кабінету Міністрів України від 12.08.2015 № 579 (Офіційний вісник України, 2015 р., № 66, ст. 2183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,зі змінами внесеними постановою Кабінету Міністрів України від 13 травня 2022р. № 599</w:t>
            </w:r>
            <w:r w:rsidRPr="003B7C9E">
              <w:rPr>
                <w:rFonts w:ascii="Times New Roman" w:hAnsi="Times New Roman" w:cs="Times New Roman"/>
                <w:sz w:val="28"/>
                <w:szCs w:val="28"/>
              </w:rPr>
              <w:t xml:space="preserve">), та іншими актами законодавства, визнається вченою </w:t>
            </w:r>
            <w:r w:rsidRPr="003B7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радою Університету як підвищення кваліфікації педагогічних та науково-педагогічних працівників</w:t>
            </w:r>
          </w:p>
        </w:tc>
      </w:tr>
      <w:tr w:rsidR="0006570D" w:rsidTr="00C54451">
        <w:tc>
          <w:tcPr>
            <w:tcW w:w="7564" w:type="dxa"/>
          </w:tcPr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  <w:r w:rsidRPr="003B7C9E">
              <w:rPr>
                <w:rFonts w:ascii="Times New Roman" w:hAnsi="Times New Roman" w:cs="Times New Roman"/>
                <w:sz w:val="28"/>
                <w:szCs w:val="28"/>
              </w:rPr>
              <w:tab/>
              <w:t>Обсяг підвищення кваліфікації шляхом участі педагогічного або науково- педагогічного працівника у програмі академічної мобільності зараховується в межах визнаних результатів навчання, але не більше ніж 30 годин або один кредит ЄКТС на рік.</w:t>
            </w:r>
          </w:p>
        </w:tc>
        <w:tc>
          <w:tcPr>
            <w:tcW w:w="7564" w:type="dxa"/>
          </w:tcPr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21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Pr="00230215">
              <w:rPr>
                <w:rFonts w:ascii="Times New Roman" w:hAnsi="Times New Roman" w:cs="Times New Roman"/>
                <w:sz w:val="28"/>
                <w:szCs w:val="28"/>
              </w:rPr>
              <w:tab/>
              <w:t>Обсяг підвищення кваліфікації шляхом участі педагогічного або науково- педагогічного працівника у програмі академічної мобільності зараховується в межах визнаних результатів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саме:</w:t>
            </w:r>
          </w:p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навчально-наукове стажування (діяльність спрямована на набуття практичного досвіду на основі досліджень та формування нових професійних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психолого-педагогічній, науково-дослідній, організаційно-управлінській діяльності-180 годин або 6 кредитів ЄКТС;</w:t>
            </w:r>
          </w:p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участь у семінарах, конференціях, виступи та публікації в межах певної спеціальності/галузі, що не суперечать законодавству та відповідають вимогам пунктам 2.3 та   2.4 цього положення</w:t>
            </w:r>
            <w:r w:rsidRPr="00230215">
              <w:rPr>
                <w:rFonts w:ascii="Times New Roman" w:hAnsi="Times New Roman" w:cs="Times New Roman"/>
                <w:sz w:val="28"/>
                <w:szCs w:val="28"/>
              </w:rPr>
              <w:t>, але не більше ніж 30 годин або один кредит ЄКТС на рік.</w:t>
            </w:r>
          </w:p>
        </w:tc>
      </w:tr>
      <w:tr w:rsidR="0006570D" w:rsidTr="00C54451">
        <w:tc>
          <w:tcPr>
            <w:tcW w:w="7564" w:type="dxa"/>
          </w:tcPr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C9E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  <w:r w:rsidRPr="003B7C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Стажування педагогічних і науково-педагогічних працівників університету може здійснюватися в закладі освіти за місцем роботи працівника, іншому закладі освіти або науковій установі. </w:t>
            </w:r>
          </w:p>
          <w:p w:rsidR="0006570D" w:rsidRPr="003B7C9E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9E">
              <w:rPr>
                <w:rFonts w:ascii="Times New Roman" w:hAnsi="Times New Roman" w:cs="Times New Roman"/>
                <w:sz w:val="28"/>
                <w:szCs w:val="28"/>
              </w:rPr>
              <w:t>Керівником такого стажування призначається науково-педагогічний чи науковий працівник, який працює у суб’єкта підвищення кваліфікації за основним місцем роботи, має науковий ступінь та/або вчене звання і не менше десяти років досвіду роботи на посадах науково-педагогічних чи наукових працівників.</w:t>
            </w:r>
          </w:p>
          <w:p w:rsidR="0006570D" w:rsidRPr="003B7C9E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9E">
              <w:rPr>
                <w:rFonts w:ascii="Times New Roman" w:hAnsi="Times New Roman" w:cs="Times New Roman"/>
                <w:sz w:val="28"/>
                <w:szCs w:val="28"/>
              </w:rPr>
              <w:t>Стажування педагогічних і науково-педагогічних працівників у інших суб’єктів підвищення кваліфікації здійснюється під керівництвом працівника, який має відповідний досвід роботи та кваліфікацію.</w:t>
            </w:r>
          </w:p>
          <w:p w:rsidR="0006570D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Стажування педагогічних і науково-педагогічних працівників може здійснюватися в закладах освіти, установах, організаціях та на підприємствах.</w:t>
            </w:r>
          </w:p>
        </w:tc>
        <w:tc>
          <w:tcPr>
            <w:tcW w:w="7564" w:type="dxa"/>
          </w:tcPr>
          <w:p w:rsidR="0006570D" w:rsidRPr="00E75AC6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  <w:r w:rsidRPr="006B5313">
              <w:rPr>
                <w:rFonts w:ascii="Times New Roman" w:hAnsi="Times New Roman" w:cs="Times New Roman"/>
                <w:sz w:val="28"/>
                <w:szCs w:val="28"/>
              </w:rPr>
              <w:tab/>
              <w:t>Стажування педагогічних і науково-педагогічних працівників університету може здійснюватися в закладі освіти за місцем роботи працівника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570D" w:rsidRPr="006B5313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13">
              <w:rPr>
                <w:rFonts w:ascii="Times New Roman" w:hAnsi="Times New Roman" w:cs="Times New Roman"/>
                <w:sz w:val="28"/>
                <w:szCs w:val="28"/>
              </w:rPr>
              <w:t>Керівником такого стажування призначається науково-педагогічний чи науковий працівник, який працює у суб’єкта підвищення кваліфікації за основним місцем роботи, має науковий ступінь та/або вчене звання і не менше десяти років досвіду роботи на посадах науково-педагогічних чи наукових працівників.</w:t>
            </w:r>
          </w:p>
          <w:p w:rsidR="0006570D" w:rsidRPr="006B5313" w:rsidRDefault="0006570D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13">
              <w:rPr>
                <w:rFonts w:ascii="Times New Roman" w:hAnsi="Times New Roman" w:cs="Times New Roman"/>
                <w:sz w:val="28"/>
                <w:szCs w:val="28"/>
              </w:rPr>
              <w:t>Стажування педагогічних і науково-педагогічних працівників у інших суб’єктів підвищення кваліфікації здійснюється під керівництвом працівника, який має відповідний досвід роботи та кваліфікацію.</w:t>
            </w:r>
          </w:p>
          <w:p w:rsidR="005C6F8F" w:rsidRPr="005C6F8F" w:rsidRDefault="0006570D" w:rsidP="0006570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Стажування педагогічних і науково-педагогічних працівників може здійснюватися в закладах освіти як </w:t>
            </w:r>
            <w:r w:rsidRPr="005C6F8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lastRenderedPageBreak/>
              <w:t>України, так і за кордоном, установах, о</w:t>
            </w:r>
            <w:r w:rsidR="00570F4B" w:rsidRPr="005C6F8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рганізаціях та на підприємствах за напрямами:</w:t>
            </w:r>
          </w:p>
          <w:p w:rsidR="00570F4B" w:rsidRPr="005C6F8F" w:rsidRDefault="00570F4B" w:rsidP="0006570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-наукове стажування;</w:t>
            </w:r>
          </w:p>
          <w:p w:rsidR="00570F4B" w:rsidRPr="005C6F8F" w:rsidRDefault="00570F4B" w:rsidP="0006570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-наукове дослідження;</w:t>
            </w:r>
          </w:p>
          <w:p w:rsidR="005C6F8F" w:rsidRDefault="005C6F8F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F8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-</w:t>
            </w:r>
            <w:proofErr w:type="spellStart"/>
            <w:r w:rsidRPr="005C6F8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мовне</w:t>
            </w:r>
            <w:proofErr w:type="spellEnd"/>
            <w:r w:rsidRPr="005C6F8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стажування.</w:t>
            </w:r>
          </w:p>
          <w:p w:rsidR="00570F4B" w:rsidRPr="000D6C66" w:rsidRDefault="00570F4B" w:rsidP="00065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924" w:rsidRPr="00B30924" w:rsidRDefault="00B30924" w:rsidP="00B309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924" w:rsidRPr="00B30924" w:rsidSect="003B7C9E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31"/>
    <w:rsid w:val="0006570D"/>
    <w:rsid w:val="000D6C66"/>
    <w:rsid w:val="001461FE"/>
    <w:rsid w:val="001A3B1D"/>
    <w:rsid w:val="00200E9F"/>
    <w:rsid w:val="00203627"/>
    <w:rsid w:val="00230215"/>
    <w:rsid w:val="00391D69"/>
    <w:rsid w:val="003B7C9E"/>
    <w:rsid w:val="00570F4B"/>
    <w:rsid w:val="005C6F8F"/>
    <w:rsid w:val="00634931"/>
    <w:rsid w:val="006B5313"/>
    <w:rsid w:val="007943E1"/>
    <w:rsid w:val="007C6326"/>
    <w:rsid w:val="009241F3"/>
    <w:rsid w:val="00A246FE"/>
    <w:rsid w:val="00B30924"/>
    <w:rsid w:val="00C00A40"/>
    <w:rsid w:val="00C54451"/>
    <w:rsid w:val="00CC064A"/>
    <w:rsid w:val="00E75AC6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982D"/>
  <w15:chartTrackingRefBased/>
  <w15:docId w15:val="{F74D3C9C-9BD1-4E19-BABF-D33EA32D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4784</Words>
  <Characters>2728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Коробченко</dc:creator>
  <cp:keywords/>
  <dc:description/>
  <cp:lastModifiedBy>Лідія Коробченко</cp:lastModifiedBy>
  <cp:revision>3</cp:revision>
  <dcterms:created xsi:type="dcterms:W3CDTF">2024-01-24T21:41:00Z</dcterms:created>
  <dcterms:modified xsi:type="dcterms:W3CDTF">2024-01-25T10:32:00Z</dcterms:modified>
</cp:coreProperties>
</file>